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145 vom 29. Juni 1979</w:t>
      </w:r>
    </w:p>
    <w:p>
      <w:r>
        <w:t>Bundesgericht (BGE), 1979-06-29, DE</w:t>
      </w:r>
    </w:p>
    <w:p>
      <w:r>
        <w:rPr>
          <w:b/>
        </w:rPr>
        <w:t xml:space="preserve">Quelle: </w:t>
      </w:r>
      <w:r>
        <w:t>https://mcp.opencaselaw.ch/entscheid/bge_105 IB 145</w:t>
      </w:r>
    </w:p>
    <w:p>
      <w:r>
        <w:t>FR: BGE 105 IB 145 du 29 juin 1979</w:t>
      </w:r>
    </w:p>
    <w:p>
      <w:r>
        <w:t>IT: BGE 105 IB 145 del 29 giugno 1979</w:t>
      </w:r>
    </w:p>
    <w:p>
      <w:pPr>
        <w:pStyle w:val="Heading2"/>
      </w:pPr>
      <w:r>
        <w:t>Regeste</w:t>
      </w:r>
    </w:p>
    <w:p>
      <w:r>
        <w:t>Regeste Erwerb des Schweizer Bürgerrechts (Art. 5 Abs. 1 lit. a und Art. 57 Abs. 6 BüG). Eine gestützt auf Art. 27 BüG erleichtert eingebürgerte Mutter gilt als "Schweizer Bürgerin von Abstammung" im Sinn von Art. 5 Abs. 1 lit. a und 57 Abs. 6 BüG.</w:t>
      </w:r>
    </w:p>
    <w:p>
      <w:pPr>
        <w:pStyle w:val="Heading2"/>
      </w:pPr>
      <w:r>
        <w:t>Erwägungen</w:t>
      </w:r>
    </w:p>
    <w:p>
      <w:r>
        <w:rPr>
          <w:b/>
        </w:rPr>
        <w:t>E. 2</w:t>
      </w:r>
    </w:p>
    <w:p>
      <w:r>
        <w:t>Gemäss Art. 57 Abs. 6 BüG kann das Kind eines ausländischen Vaters und einer Mutter, die "von Abstammung Schweizerbürgerin" ("d'origine suisse", "svizzera d'origine") ist, bis Ende 1978 (AS 1977 237 264) die Anerkennung als Schweizer Bürger beantragen, sofern seine Eltern zur Zeit der Geburt ihren Wohnsitz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 Bürgerin" ("d'origine suisse", "svizzera d'origine") ist, und die Eltern zur Zeit der Geburt in der Schweiz ihren Wohnsitz haben. BGE 105 Ib 145 S. 147 Im vorliegenden Fall ist streitig, ob die Mutter der Beschwerdeführer von Abstammung Schweizer Bürgerin sei. Das Bundesgericht hat die Bedeutung dieser Vorschrift in BGE 105 Ib 50 ff. geprüft und erkannt, dass diejenige Mutter von Abstammung Schweizer Bürgerin ist, die das Bürgerrecht von Gesetzes wegen von ihrem Vater oder ihrer Mutter erworben hat oder die durch behördlichen Beschluss aufgrund des Kindesverhältnisses zu ihrem Vater oder ihrer Mutter Schweizerin geworden ist. Gestützt auf diesen Grundsatz nahm das Gericht an, dass in jenem Fall die Mutter im Sinne von Art. 57 Abs. 6 BüG "von Abstammung Schweizer Bürgerin" war, weil sie in die Einbürgerung ihrer Eltern einbezogen worden war und daher das Bürgerrecht von Gesetzes wegen von ihren Eltern erworben hatte. Die Mutter der Beschwerdeführer im heutigen Verfahren wurde seinerzeit gemäss Art. 27 BüG erleichtert eingebürgert und es stellt sich die Frage, ob auch sie als "Schweizer Bürgerin von Abstammung" zu gelten hat. Sie konnte damals erleichtert eingebürgert werden, weil ihre Mutter (die Grossmutter der Beschwerdeführer) gebürtige Schweizerin war und sie selber mehr als 10 Jahre in der Schweiz gelebt hatte, in der Schweiz wohnte und das Gesuch um erleichterte Einbürgerung vor Vollendung des 22. Lebensjahres stellte ( Art. 27 BüG ). Voraussetzung der erleichterten Einbürgerung war demnach zunächst, dass die Mutter der Beschwerdeführer Kind einer gebürtigen Schweizerin war. Damit wurde die erleichterte Einbürgerung der Mutter an das Schweizer Bürgerrecht der Grossmutter der Beschwerdeführer geknüpft. Die Mutter erwarb daher ihr Bürgerrecht seinerzeit durch behördlichen Beschluss aufgrund ihres Kindesverhältnisses zu einer gebürtigen Schweizerin. Für die seinerzeitige erleichterte Einbürgerung mussten freilich noch weitere Voraussetzungen, insbesondere eine gewisse Wohnsitzdauer, erfüllt sein. Es genügt indessen, dass eine wesentliche Einbürgerungsvoraussetzung an das Kindesverhältnis geknüpft war, um anzunehmen, dass die Mutter der Beschwerdeführer "von Abstammung Schweizerin" ist. Die Beschwerdeführer müssen daher als Schweizer Bürger anerkannt werden, sofern sich der Wohnsitz der Eltern zur Zeit ihrer Geburt in der Schweiz befand. Die kantonalen Behörden hatten aufgrund ihrer rechtlichen Erwägungen keine Veranlassung, diese Frage zu prüfen, und aus den Akten kann nicht mit Sicherheit entnommen werden, ob diese zweite Voraussetzung BGE 105 Ib 145 S. 148 erfüllt ist. Die Sache muss daher an den Regierungsrat zu neuer Überprüfung und neuem Entscheid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